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2975C" w14:textId="77777777" w:rsidR="00157E75" w:rsidRPr="00157E75" w:rsidRDefault="00157E75" w:rsidP="00157E7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MY"/>
          <w14:ligatures w14:val="none"/>
        </w:rPr>
        <w:t>Global Talent Academy Publication Policies</w:t>
      </w:r>
    </w:p>
    <w:p w14:paraId="29E56F47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Global Talent Academy (GTA) is committed to maintaining high standards of academic quality, research integrity, editorial independence, transparency, and responsible scholarly publishing.</w:t>
      </w:r>
    </w:p>
    <w:p w14:paraId="61EABBE0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These Publication Policies apply to all scholarly journals published by Global Talent Academy unless a journal-specific policy states otherwise.</w:t>
      </w:r>
    </w:p>
    <w:p w14:paraId="05366C5A" w14:textId="77777777" w:rsidR="00157E75" w:rsidRPr="00157E75" w:rsidRDefault="00157E75" w:rsidP="00157E7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1. Editorial Governance and Independence</w:t>
      </w:r>
    </w:p>
    <w:p w14:paraId="13E7625C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This policy covers the responsibilities of the Editor-in-Chief, Associate Editors, Editorial Board members, and the publisher.</w:t>
      </w:r>
    </w:p>
    <w:p w14:paraId="2EB51699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Editorial decisions are based solely on academic merit, originality, methodological quality, relevance to the journal's scope, ethical compliance, and contribution to knowledge.</w:t>
      </w:r>
    </w:p>
    <w:p w14:paraId="7430C7BE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Commercial considerations, Article Processing Charges, sponsorship, institutional relationships, or personal relationships must not influence editorial decisions.</w:t>
      </w:r>
    </w:p>
    <w:p w14:paraId="0E6BADE7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Editors must declare and appropriately manage any conflicts of interest and must withdraw from handling manuscripts where their impartiality could reasonably be questioned.</w:t>
      </w:r>
    </w:p>
    <w:p w14:paraId="53FB1D5B" w14:textId="77777777" w:rsidR="00157E75" w:rsidRPr="00157E75" w:rsidRDefault="007F3B49" w:rsidP="00157E75">
      <w:pPr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pict w14:anchorId="5A6699FC">
          <v:rect id="_x0000_i1025" style="width:0;height:1.5pt" o:hralign="center" o:hrstd="t" o:hr="t" fillcolor="#a0a0a0" stroked="f"/>
        </w:pict>
      </w:r>
    </w:p>
    <w:p w14:paraId="63A20CDD" w14:textId="77777777" w:rsidR="00157E75" w:rsidRPr="00157E75" w:rsidRDefault="00157E75" w:rsidP="00157E7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2. Peer Review and Editorial Decision Policy</w:t>
      </w:r>
    </w:p>
    <w:p w14:paraId="5AD46E33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GTA journals normally apply double-blind peer review for original research articles.</w:t>
      </w:r>
    </w:p>
    <w:p w14:paraId="2294744B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Research manuscripts are normally evaluated by at least two independent reviewers with appropriate expertise.</w:t>
      </w:r>
    </w:p>
    <w:p w14:paraId="343E2BF3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The peer-review process generally includes:</w:t>
      </w:r>
    </w:p>
    <w:p w14:paraId="5028E6CA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Initial editorial screening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Independent peer review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Editorial assessment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Revision where required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Final editorial decision</w:t>
      </w:r>
    </w:p>
    <w:p w14:paraId="4C2AA13C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Reviewers must maintain confidentiality, provide objective and constructive evaluations, disclose conflicts of interest, and avoid inappropriate or discriminatory comments.</w:t>
      </w:r>
    </w:p>
    <w:p w14:paraId="1A784A13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The final publication decision rests with the Editor-in-Chief or an authorised handling editor.</w:t>
      </w:r>
    </w:p>
    <w:p w14:paraId="13BE7520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Payment of an Article Processing Charge does not guarantee publication and does not influence peer-review or editorial decisions.</w:t>
      </w:r>
    </w:p>
    <w:p w14:paraId="0CA00546" w14:textId="77777777" w:rsidR="00157E75" w:rsidRPr="00157E75" w:rsidRDefault="007F3B49" w:rsidP="00157E75">
      <w:pPr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lastRenderedPageBreak/>
        <w:pict w14:anchorId="2D2E4B1D">
          <v:rect id="_x0000_i1026" style="width:0;height:1.5pt" o:hralign="center" o:hrstd="t" o:hr="t" fillcolor="#a0a0a0" stroked="f"/>
        </w:pict>
      </w:r>
    </w:p>
    <w:p w14:paraId="71F70E31" w14:textId="77777777" w:rsidR="00157E75" w:rsidRPr="00157E75" w:rsidRDefault="00157E75" w:rsidP="00157E7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3. Publication Ethics and Research Integrity</w:t>
      </w:r>
    </w:p>
    <w:p w14:paraId="2DE85DBF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GTA is committed to protecting the integrity of the scholarly record.</w:t>
      </w:r>
    </w:p>
    <w:p w14:paraId="46612A40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The following forms of misconduct are not tolerated:</w:t>
      </w:r>
    </w:p>
    <w:p w14:paraId="189EA621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Plagiarism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Fabrication or falsification of data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Duplicate or redundant publication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Citation manipulation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Peer-review manipulation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Authorship manipulation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Inappropriate image manipulation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Misrepresentation of research findings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Undisclosed conflicts of interest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Research conducted without required ethical approval</w:t>
      </w:r>
    </w:p>
    <w:p w14:paraId="19580167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Suspected misconduct may result in manuscript rejection, investigation, correction, expression of concern, retraction, or other appropriate action.</w:t>
      </w:r>
    </w:p>
    <w:p w14:paraId="603A95D9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Where appropriate, GTA follows recognised principles and guidance issued by organisations such as the Committee on Publication Ethics.</w:t>
      </w:r>
    </w:p>
    <w:p w14:paraId="42937FF9" w14:textId="77777777" w:rsidR="00157E75" w:rsidRPr="00157E75" w:rsidRDefault="007F3B49" w:rsidP="00157E75">
      <w:pPr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pict w14:anchorId="640466F5">
          <v:rect id="_x0000_i1027" style="width:0;height:1.5pt" o:hralign="center" o:hrstd="t" o:hr="t" fillcolor="#a0a0a0" stroked="f"/>
        </w:pict>
      </w:r>
    </w:p>
    <w:p w14:paraId="2FA13AA4" w14:textId="77777777" w:rsidR="00157E75" w:rsidRPr="00157E75" w:rsidRDefault="00157E75" w:rsidP="00157E7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4. Plagiarism, Originality and Duplicate Publication</w:t>
      </w:r>
    </w:p>
    <w:p w14:paraId="57536E7B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All manuscripts submitted to GTA journals must represent original scholarly work.</w:t>
      </w:r>
    </w:p>
    <w:p w14:paraId="36C25AC5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Authors must appropriately acknowledge and cite the ideas, words, data, figures, tables, and intellectual contributions of others.</w:t>
      </w:r>
    </w:p>
    <w:p w14:paraId="59211B98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GTA journals may use plagiarism or similarity-detection software during editorial screening.</w:t>
      </w:r>
    </w:p>
    <w:p w14:paraId="662C82DD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Similarity percentages are evaluated in context and are not used as the sole basis for determining plagiarism.</w:t>
      </w:r>
    </w:p>
    <w:p w14:paraId="54A540A9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Substantive plagiarism, inappropriate paraphrasing, duplicate publication, redundant publication, or excessive reuse of previously published work may result in rejection or post-publication action.</w:t>
      </w:r>
    </w:p>
    <w:p w14:paraId="62AE6E35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Manuscripts must not normally be under simultaneous consideration by another journal.</w:t>
      </w:r>
    </w:p>
    <w:p w14:paraId="58C6C6C9" w14:textId="77777777" w:rsidR="00157E75" w:rsidRPr="00157E75" w:rsidRDefault="007F3B49" w:rsidP="00157E75">
      <w:pPr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pict w14:anchorId="17EEB387">
          <v:rect id="_x0000_i1028" style="width:0;height:1.5pt" o:hralign="center" o:hrstd="t" o:hr="t" fillcolor="#a0a0a0" stroked="f"/>
        </w:pict>
      </w:r>
    </w:p>
    <w:p w14:paraId="5CC4FD8F" w14:textId="77777777" w:rsidR="00157E75" w:rsidRPr="00157E75" w:rsidRDefault="00157E75" w:rsidP="00157E7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5. Authorship and Contributor Responsibilities</w:t>
      </w:r>
    </w:p>
    <w:p w14:paraId="0C405069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lastRenderedPageBreak/>
        <w:t>Authorship must reflect genuine scholarly contribution and accountability.</w:t>
      </w:r>
    </w:p>
    <w:p w14:paraId="1A59907B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Individuals listed as authors should have made substantial contributions to the research and must approve the submitted and final versions of the manuscript.</w:t>
      </w:r>
    </w:p>
    <w:p w14:paraId="79088B55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Gift authorship, honorary authorship, guest authorship, and ghost authorship are not acceptable.</w:t>
      </w:r>
    </w:p>
    <w:p w14:paraId="57D6351D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The corresponding author is responsible for ensuring that:</w:t>
      </w:r>
    </w:p>
    <w:p w14:paraId="4FC06F7A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All authors approve the submission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Author information is accurate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Relevant declarations are complete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All authors approve the final version</w:t>
      </w:r>
    </w:p>
    <w:p w14:paraId="24818246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GTA encourages the use of contributor statements, including the CRediT Contributor Roles Taxonomy where appropriate.</w:t>
      </w:r>
    </w:p>
    <w:p w14:paraId="176F80F0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Requests to add, remove, or reorder authors after submission must be justified and may require written agreement from all affected authors.</w:t>
      </w:r>
    </w:p>
    <w:p w14:paraId="2BB231EF" w14:textId="77777777" w:rsidR="00157E75" w:rsidRPr="00157E75" w:rsidRDefault="007F3B49" w:rsidP="00157E75">
      <w:pPr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pict w14:anchorId="3B69F272">
          <v:rect id="_x0000_i1029" style="width:0;height:1.5pt" o:hralign="center" o:hrstd="t" o:hr="t" fillcolor="#a0a0a0" stroked="f"/>
        </w:pict>
      </w:r>
    </w:p>
    <w:p w14:paraId="6E3260E2" w14:textId="77777777" w:rsidR="00157E75" w:rsidRPr="00157E75" w:rsidRDefault="00157E75" w:rsidP="00157E7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6. Artificial Intelligence and AI-Assisted Technologies</w:t>
      </w:r>
    </w:p>
    <w:p w14:paraId="1DBBADBF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Authors remain fully responsible for all material submitted to and published by GTA journals, including content produced or modified using artificial intelligence tools.</w:t>
      </w:r>
    </w:p>
    <w:p w14:paraId="440544BD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AI systems must not be listed as authors or co-authors.</w:t>
      </w:r>
    </w:p>
    <w:p w14:paraId="192AE406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Substantive use of generative AI or AI-assisted technologies should be transparently disclosed where these tools contribute materially to:</w:t>
      </w:r>
    </w:p>
    <w:p w14:paraId="1D7A7A19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Text generation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Data analysis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Programming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Image creation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Data processing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Research interpretation</w:t>
      </w:r>
    </w:p>
    <w:p w14:paraId="7EAAC23B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Authors must verify the accuracy, originality, references, data integrity, and ethical appropriateness of AI-assisted outputs.</w:t>
      </w:r>
    </w:p>
    <w:p w14:paraId="77EA57A1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Reviewers and editors must not upload confidential manuscripts or unpublished research material into publicly accessible AI systems where confidentiality cannot be adequately protected.</w:t>
      </w:r>
    </w:p>
    <w:p w14:paraId="7430A19D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lastRenderedPageBreak/>
        <w:t>Automated AI-detection tools may support editorial screening, but no misconduct decision should be based solely on an automated detection score without appropriate human assessment.</w:t>
      </w:r>
    </w:p>
    <w:p w14:paraId="08B4F40F" w14:textId="77777777" w:rsidR="00157E75" w:rsidRPr="00157E75" w:rsidRDefault="007F3B49" w:rsidP="00157E75">
      <w:pPr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pict w14:anchorId="6A86E64A">
          <v:rect id="_x0000_i1030" style="width:0;height:1.5pt" o:hralign="center" o:hrstd="t" o:hr="t" fillcolor="#a0a0a0" stroked="f"/>
        </w:pict>
      </w:r>
    </w:p>
    <w:p w14:paraId="210385D8" w14:textId="77777777" w:rsidR="00157E75" w:rsidRPr="00157E75" w:rsidRDefault="00157E75" w:rsidP="00157E7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7. Conflict of Interest and Competing Interests</w:t>
      </w:r>
    </w:p>
    <w:p w14:paraId="1F327142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Authors, reviewers, editors, and other individuals involved in publication must disclose interests or relationships that could influence, or appear to influence, professional judgment.</w:t>
      </w:r>
    </w:p>
    <w:p w14:paraId="6D2FB6E2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Potential conflicts may include:</w:t>
      </w:r>
    </w:p>
    <w:p w14:paraId="5A87E7FF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Financial interests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Employment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Consultancies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Research funding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Institutional relationships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Personal relationships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Academic competition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Intellectual property interests</w:t>
      </w:r>
    </w:p>
    <w:p w14:paraId="2ADC110F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Authors must include a Conflict of Interest or Competing Interests statement.</w:t>
      </w:r>
    </w:p>
    <w:p w14:paraId="578723BF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Where no relevant conflict exists, authors may state:</w:t>
      </w:r>
    </w:p>
    <w:p w14:paraId="7673322C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"The authors declare no conflict of interest."</w:t>
      </w:r>
    </w:p>
    <w:p w14:paraId="3C58AF61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Reviewers and editors must decline or disclose assignments where their impartiality could reasonably be questioned.</w:t>
      </w:r>
    </w:p>
    <w:p w14:paraId="314CFD92" w14:textId="77777777" w:rsidR="00157E75" w:rsidRPr="00157E75" w:rsidRDefault="007F3B49" w:rsidP="00157E75">
      <w:pPr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pict w14:anchorId="543D8DC8">
          <v:rect id="_x0000_i1031" style="width:0;height:1.5pt" o:hralign="center" o:hrstd="t" o:hr="t" fillcolor="#a0a0a0" stroked="f"/>
        </w:pict>
      </w:r>
    </w:p>
    <w:p w14:paraId="71A8A201" w14:textId="77777777" w:rsidR="00157E75" w:rsidRPr="00157E75" w:rsidRDefault="00157E75" w:rsidP="00157E7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8. Research Ethics, Human Participants and Data</w:t>
      </w:r>
    </w:p>
    <w:p w14:paraId="6D5BE3A4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Research involving human participants, surveys, interviews, personal information, experiments, or other ethically sensitive activities must comply with applicable institutional and national ethical requirements.</w:t>
      </w:r>
    </w:p>
    <w:p w14:paraId="7938FE57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Where formal ethical approval is required, authors should provide:</w:t>
      </w:r>
    </w:p>
    <w:p w14:paraId="1A8241E0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Name of the approving institution or ethics committee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Approval or reference number where available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Relevant informed-consent information</w:t>
      </w:r>
    </w:p>
    <w:p w14:paraId="1225E201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Authors must protect participant privacy, confidentiality, dignity, and legal rights.</w:t>
      </w:r>
    </w:p>
    <w:p w14:paraId="525BF99C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Where research involves animals, applicable ethical and welfare standards must be followed.</w:t>
      </w:r>
    </w:p>
    <w:p w14:paraId="2D83A6D2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lastRenderedPageBreak/>
        <w:t>GTA encourages authors to make supporting research data available in appropriate repositories where ethically, legally, and commercially permissible.</w:t>
      </w:r>
    </w:p>
    <w:p w14:paraId="2EA39544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Published articles may include a Data Availability Statement.</w:t>
      </w:r>
    </w:p>
    <w:p w14:paraId="54A21669" w14:textId="77777777" w:rsidR="00157E75" w:rsidRPr="00157E75" w:rsidRDefault="007F3B49" w:rsidP="00157E75">
      <w:pPr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pict w14:anchorId="587516E2">
          <v:rect id="_x0000_i1032" style="width:0;height:1.5pt" o:hralign="center" o:hrstd="t" o:hr="t" fillcolor="#a0a0a0" stroked="f"/>
        </w:pict>
      </w:r>
    </w:p>
    <w:p w14:paraId="6942A9A3" w14:textId="77777777" w:rsidR="00157E75" w:rsidRPr="00157E75" w:rsidRDefault="00157E75" w:rsidP="00157E7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9. Open Access, Copyright and Licensing</w:t>
      </w:r>
    </w:p>
    <w:p w14:paraId="3D72B6D8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GTA journals operate on an open-access publishing model.</w:t>
      </w:r>
    </w:p>
    <w:p w14:paraId="74DD5422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Published articles are made freely available online without subscription barriers.</w:t>
      </w:r>
    </w:p>
    <w:p w14:paraId="69F18A1F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Unless otherwise stated, authors retain copyright in their published work and grant Global Talent Academy the right of first publication.</w:t>
      </w:r>
    </w:p>
    <w:p w14:paraId="724CA525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GTA recommends publication under the:</w:t>
      </w:r>
    </w:p>
    <w:p w14:paraId="01686D23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lang w:eastAsia="en-MY"/>
          <w14:ligatures w14:val="none"/>
        </w:rPr>
        <w:t>Creative Commons Attribution 4.0 International Licence (CC BY 4.0).</w:t>
      </w:r>
    </w:p>
    <w:p w14:paraId="1E2F9263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Under this licence, users may share and adapt published material provided appropriate attribution is given.</w:t>
      </w:r>
    </w:p>
    <w:p w14:paraId="220F9C10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Article copyright is separate from copyright relating to the GTA website, logos, journal design, and publisher-owned material.</w:t>
      </w:r>
    </w:p>
    <w:p w14:paraId="4BE2C45A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Authors may normally deposit published open-access articles in institutional repositories, subject repositories, academic profiles, and personal scholarly websites, provided the Version of Record is properly cited.</w:t>
      </w:r>
    </w:p>
    <w:p w14:paraId="55938B2C" w14:textId="77777777" w:rsidR="00157E75" w:rsidRPr="00157E75" w:rsidRDefault="007F3B49" w:rsidP="00157E75">
      <w:pPr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pict w14:anchorId="1EFBC527">
          <v:rect id="_x0000_i1033" style="width:0;height:1.5pt" o:hralign="center" o:hrstd="t" o:hr="t" fillcolor="#a0a0a0" stroked="f"/>
        </w:pict>
      </w:r>
    </w:p>
    <w:p w14:paraId="184EEA4F" w14:textId="77777777" w:rsidR="00157E75" w:rsidRPr="00157E75" w:rsidRDefault="00157E75" w:rsidP="00157E7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10. Article Processing Charges and Waivers</w:t>
      </w:r>
    </w:p>
    <w:p w14:paraId="267F8B94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GTA journals may charge an Article Processing Charge to support editorial administration, publishing operations, digital dissemination, and open-access publication.</w:t>
      </w:r>
    </w:p>
    <w:p w14:paraId="061A6D0F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Unless otherwise stated by an individual journal:</w:t>
      </w:r>
    </w:p>
    <w:p w14:paraId="3ED68615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lang w:eastAsia="en-MY"/>
          <w14:ligatures w14:val="none"/>
        </w:rPr>
        <w:t>Standard Article Processing Charge: USD 120 per accepted article.</w:t>
      </w:r>
    </w:p>
    <w:p w14:paraId="46E29EDB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There is no fee solely for submitting a manuscript for editorial consideration.</w:t>
      </w:r>
    </w:p>
    <w:p w14:paraId="7EF51F7B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The APC becomes payable only after the manuscript has successfully completed the required editorial and peer-review process and has received formal acceptance.</w:t>
      </w:r>
    </w:p>
    <w:p w14:paraId="66E7478D" w14:textId="00D900EA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Payment of the APC: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Does not influence reviewer selection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lastRenderedPageBreak/>
        <w:t>Does not influence peer-review reports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Does not influence editorial decisions</w:t>
      </w:r>
    </w:p>
    <w:p w14:paraId="51B0E874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Any mandatory taxes, payment-processing charges, or other publication-related fees will be disclosed before payment.</w:t>
      </w:r>
    </w:p>
    <w:p w14:paraId="0AD28A21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Where waiver or discount programmes are available, eligibility requirements will be stated by the relevant journal.</w:t>
      </w:r>
    </w:p>
    <w:p w14:paraId="4A09BB40" w14:textId="77777777" w:rsidR="00157E75" w:rsidRPr="00157E75" w:rsidRDefault="007F3B49" w:rsidP="00157E75">
      <w:pPr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pict w14:anchorId="3BC735F8">
          <v:rect id="_x0000_i1034" style="width:0;height:1.5pt" o:hralign="center" o:hrstd="t" o:hr="t" fillcolor="#a0a0a0" stroked="f"/>
        </w:pict>
      </w:r>
    </w:p>
    <w:p w14:paraId="726166FB" w14:textId="77777777" w:rsidR="00157E75" w:rsidRPr="00157E75" w:rsidRDefault="00157E75" w:rsidP="00157E7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11. Corrections, Retractions, Complaints and Appeals</w:t>
      </w:r>
    </w:p>
    <w:p w14:paraId="1DB89822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GTA is committed to maintaining an accurate and trustworthy scholarly record.</w:t>
      </w:r>
    </w:p>
    <w:p w14:paraId="4DB10806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Post-publication actions may include:</w:t>
      </w:r>
    </w:p>
    <w:p w14:paraId="1B8DA673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Corrections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Corrigenda or errata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Expressions of concern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Retractions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Article removal in exceptional circumstances</w:t>
      </w:r>
    </w:p>
    <w:p w14:paraId="24373C35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Retractions may be considered where findings are unreliable because of serious error, fabrication, falsification, plagiarism, peer-review manipulation, unethical research, or other major integrity concerns.</w:t>
      </w:r>
    </w:p>
    <w:p w14:paraId="760D7A18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Retracted articles will normally remain accessible as part of the scholarly record and will be clearly identified as retracted.</w:t>
      </w:r>
    </w:p>
    <w:p w14:paraId="7E11D770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Authors may submit an appeal where they believe a significant factual, methodological, or procedural error affected an editorial decision.</w:t>
      </w:r>
    </w:p>
    <w:p w14:paraId="0D82D31C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Complaints concerning editorial conduct, reviewer conduct, conflicts of interest, delays, publication ethics, or administrative procedures may be submitted to the GTA Editorial Office.</w:t>
      </w:r>
    </w:p>
    <w:p w14:paraId="6EE9908B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Complaints and appeals will be handled objectively, confidentially, and fairly.</w:t>
      </w:r>
    </w:p>
    <w:p w14:paraId="115B0741" w14:textId="77777777" w:rsidR="00157E75" w:rsidRPr="00157E75" w:rsidRDefault="007F3B49" w:rsidP="00157E75">
      <w:pPr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pict w14:anchorId="646E4BE6">
          <v:rect id="_x0000_i1035" style="width:0;height:1.5pt" o:hralign="center" o:hrstd="t" o:hr="t" fillcolor="#a0a0a0" stroked="f"/>
        </w:pict>
      </w:r>
    </w:p>
    <w:p w14:paraId="6C320BAC" w14:textId="77777777" w:rsidR="00157E75" w:rsidRPr="00157E75" w:rsidRDefault="00157E75" w:rsidP="00157E7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12. Digital Preservation, Metadata and Scholarly Identification</w:t>
      </w:r>
    </w:p>
    <w:p w14:paraId="56F6B520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GTA recognises the importance of long-term preservation, accurate metadata, and reliable scholarly identification.</w:t>
      </w:r>
    </w:p>
    <w:p w14:paraId="518F7F57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lastRenderedPageBreak/>
        <w:t>Published content and associated metadata are maintained through GTA's digital publishing infrastructure and operational backup procedures.</w:t>
      </w:r>
    </w:p>
    <w:p w14:paraId="091509F8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As GTA's publishing programme develops, appropriate recognised external digital-preservation arrangements may also be implemented.</w:t>
      </w:r>
    </w:p>
    <w:p w14:paraId="072C2F03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Structured metadata may include:</w:t>
      </w:r>
    </w:p>
    <w:p w14:paraId="4514373E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Journal title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ISSN/eISSN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Article title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Author names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Affiliations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ORCID identifiers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Abstract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Keywords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Volume and issue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Publication dates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DOI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Funding information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Licence information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References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Conflict-of-interest statement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Data Availability Statement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Author contribution information</w:t>
      </w:r>
    </w:p>
    <w:p w14:paraId="3398255C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Where DOI registration is available, each eligible article will receive a unique DOI linked to a stable article landing page.</w:t>
      </w:r>
    </w:p>
    <w:p w14:paraId="6EDDFA1C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GTA encourages authors to provide valid ORCID identifiers to improve author identification and metadata quality.</w:t>
      </w:r>
    </w:p>
    <w:p w14:paraId="54D0ED25" w14:textId="77777777" w:rsidR="00157E75" w:rsidRPr="00157E75" w:rsidRDefault="007F3B49" w:rsidP="00157E75">
      <w:pPr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pict w14:anchorId="7662AA77">
          <v:rect id="_x0000_i1036" style="width:0;height:1.5pt" o:hralign="center" o:hrstd="t" o:hr="t" fillcolor="#a0a0a0" stroked="f"/>
        </w:pict>
      </w:r>
    </w:p>
    <w:p w14:paraId="6E2690B6" w14:textId="77777777" w:rsidR="00157E75" w:rsidRPr="00157E75" w:rsidRDefault="00157E75" w:rsidP="00157E7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MY"/>
          <w14:ligatures w14:val="none"/>
        </w:rPr>
        <w:t>Contact</w:t>
      </w:r>
    </w:p>
    <w:p w14:paraId="588A8203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Questions relating to publication policies, publication ethics, complaints, appeals, corrections, or editorial procedures may be directed to:</w:t>
      </w:r>
    </w:p>
    <w:p w14:paraId="54AA9C82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lang w:eastAsia="en-MY"/>
          <w14:ligatures w14:val="none"/>
        </w:rPr>
        <w:t>Global Talent Academy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br/>
        <w:t>Malaysia</w:t>
      </w:r>
    </w:p>
    <w:p w14:paraId="304304E3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b/>
          <w:bCs/>
          <w:kern w:val="0"/>
          <w:lang w:eastAsia="en-MY"/>
          <w14:ligatures w14:val="none"/>
        </w:rPr>
        <w:t>Editorial Office:</w:t>
      </w: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 xml:space="preserve"> </w:t>
      </w:r>
      <w:hyperlink r:id="rId4" w:history="1">
        <w:r w:rsidRPr="00157E75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MY"/>
            <w14:ligatures w14:val="none"/>
          </w:rPr>
          <w:t>editor@globaltalent.academy</w:t>
        </w:r>
      </w:hyperlink>
    </w:p>
    <w:p w14:paraId="161F5441" w14:textId="77777777" w:rsidR="00157E75" w:rsidRPr="00157E75" w:rsidRDefault="00157E75" w:rsidP="00157E7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MY"/>
          <w14:ligatures w14:val="none"/>
        </w:rPr>
      </w:pPr>
      <w:r w:rsidRPr="00157E75">
        <w:rPr>
          <w:rFonts w:ascii="Times New Roman" w:eastAsia="Times New Roman" w:hAnsi="Times New Roman" w:cs="Times New Roman"/>
          <w:kern w:val="0"/>
          <w:lang w:eastAsia="en-MY"/>
          <w14:ligatures w14:val="none"/>
        </w:rPr>
        <w:t>Authors should identify the relevant journal and manuscript or article reference number when contacting the Editorial Office.</w:t>
      </w:r>
    </w:p>
    <w:p w14:paraId="2825ECD4" w14:textId="77777777" w:rsidR="00DD1BDC" w:rsidRDefault="00DD1BDC"/>
    <w:sectPr w:rsidR="00DD1B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E75"/>
    <w:rsid w:val="00157E75"/>
    <w:rsid w:val="003074DF"/>
    <w:rsid w:val="00313ECB"/>
    <w:rsid w:val="003B698E"/>
    <w:rsid w:val="00411D7F"/>
    <w:rsid w:val="00502D69"/>
    <w:rsid w:val="00533FD3"/>
    <w:rsid w:val="00913663"/>
    <w:rsid w:val="00BD29AA"/>
    <w:rsid w:val="00DD1BDC"/>
    <w:rsid w:val="00E17901"/>
    <w:rsid w:val="00EB7B4E"/>
    <w:rsid w:val="00F8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F0366"/>
  <w15:chartTrackingRefBased/>
  <w15:docId w15:val="{1057F2EF-627A-468A-B111-539C5CB1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paragraph" w:styleId="Heading1">
    <w:name w:val="heading 1"/>
    <w:link w:val="Heading1Char"/>
    <w:autoRedefine/>
    <w:uiPriority w:val="9"/>
    <w:qFormat/>
    <w:rsid w:val="00BD29AA"/>
    <w:pPr>
      <w:spacing w:before="120" w:after="120"/>
      <w:outlineLvl w:val="0"/>
    </w:pPr>
    <w:rPr>
      <w:rFonts w:ascii="Calibri" w:eastAsia="Calibri" w:hAnsi="Calibri" w:cs="Calibri"/>
      <w:b/>
      <w:color w:val="00307E"/>
      <w:kern w:val="0"/>
      <w:sz w:val="44"/>
      <w:szCs w:val="32"/>
      <w:lang w:eastAsia="en-MY"/>
      <w14:ligatures w14:val="none"/>
    </w:rPr>
  </w:style>
  <w:style w:type="paragraph" w:styleId="Heading2">
    <w:name w:val="heading 2"/>
    <w:link w:val="Heading2Char"/>
    <w:autoRedefine/>
    <w:uiPriority w:val="9"/>
    <w:unhideWhenUsed/>
    <w:qFormat/>
    <w:rsid w:val="003074DF"/>
    <w:pPr>
      <w:widowControl w:val="0"/>
      <w:shd w:val="clear" w:color="auto" w:fill="FFFFFF" w:themeFill="background1"/>
      <w:spacing w:before="240" w:after="240"/>
      <w:outlineLvl w:val="1"/>
    </w:pPr>
    <w:rPr>
      <w:b/>
      <w:color w:val="370F32"/>
      <w:sz w:val="40"/>
      <w:lang w:val="en-US"/>
    </w:rPr>
  </w:style>
  <w:style w:type="paragraph" w:styleId="Heading3">
    <w:name w:val="heading 3"/>
    <w:link w:val="Heading3Char"/>
    <w:autoRedefine/>
    <w:uiPriority w:val="9"/>
    <w:unhideWhenUsed/>
    <w:qFormat/>
    <w:rsid w:val="003B698E"/>
    <w:pPr>
      <w:spacing w:after="0"/>
      <w:outlineLvl w:val="2"/>
    </w:pPr>
    <w:rPr>
      <w:rFonts w:ascii="Calibri" w:eastAsia="Calibri" w:hAnsi="Calibri" w:cs="Calibri"/>
      <w:b/>
      <w:color w:val="1F4D78"/>
      <w:kern w:val="0"/>
      <w:sz w:val="40"/>
      <w:lang w:eastAsia="en-MY"/>
      <w14:ligatures w14:val="none"/>
    </w:rPr>
  </w:style>
  <w:style w:type="paragraph" w:styleId="Heading4">
    <w:name w:val="heading 4"/>
    <w:link w:val="Heading4Char"/>
    <w:autoRedefine/>
    <w:uiPriority w:val="9"/>
    <w:unhideWhenUsed/>
    <w:qFormat/>
    <w:rsid w:val="003B698E"/>
    <w:pPr>
      <w:spacing w:after="0"/>
      <w:outlineLvl w:val="3"/>
    </w:pPr>
    <w:rPr>
      <w:rFonts w:ascii="Calibri" w:eastAsia="Calibri" w:hAnsi="Calibri" w:cs="Calibri"/>
      <w:b/>
      <w:iCs/>
      <w:color w:val="6190D5"/>
      <w:kern w:val="0"/>
      <w:sz w:val="36"/>
      <w:lang w:eastAsia="en-MY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E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E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E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E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E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3B698E"/>
    <w:rPr>
      <w:rFonts w:ascii="Calibri" w:hAnsi="Calibri"/>
      <w:b/>
      <w:bCs/>
      <w:smallCaps/>
      <w:color w:val="B19907"/>
      <w:spacing w:val="5"/>
      <w:sz w:val="4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D29AA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right="862"/>
    </w:pPr>
    <w:rPr>
      <w:i/>
      <w:iCs/>
      <w:color w:val="747474" w:themeColor="background2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9AA"/>
    <w:rPr>
      <w:i/>
      <w:iCs/>
      <w:color w:val="747474" w:themeColor="background2" w:themeShade="80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BD29AA"/>
    <w:pPr>
      <w:numPr>
        <w:ilvl w:val="1"/>
      </w:numPr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D29AA"/>
    <w:rPr>
      <w:rFonts w:eastAsiaTheme="minorEastAsia"/>
      <w:color w:val="5A5A5A" w:themeColor="text1" w:themeTint="A5"/>
      <w:spacing w:val="15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BD29AA"/>
    <w:rPr>
      <w:rFonts w:ascii="Calibri" w:eastAsia="Calibri" w:hAnsi="Calibri" w:cs="Calibri"/>
      <w:b/>
      <w:color w:val="00307E"/>
      <w:kern w:val="0"/>
      <w:sz w:val="44"/>
      <w:szCs w:val="32"/>
      <w:lang w:eastAsia="en-MY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074DF"/>
    <w:rPr>
      <w:b/>
      <w:color w:val="370F32"/>
      <w:sz w:val="40"/>
      <w:shd w:val="clear" w:color="auto" w:fill="FFFFFF" w:themeFill="background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B698E"/>
    <w:rPr>
      <w:rFonts w:ascii="Calibri" w:eastAsia="Calibri" w:hAnsi="Calibri" w:cs="Calibri"/>
      <w:b/>
      <w:color w:val="1F4D78"/>
      <w:kern w:val="0"/>
      <w:sz w:val="40"/>
      <w:lang w:eastAsia="en-MY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3B698E"/>
    <w:rPr>
      <w:rFonts w:ascii="Calibri" w:eastAsia="Calibri" w:hAnsi="Calibri" w:cs="Calibri"/>
      <w:b/>
      <w:iCs/>
      <w:color w:val="6190D5"/>
      <w:kern w:val="0"/>
      <w:sz w:val="36"/>
      <w:lang w:eastAsia="en-MY"/>
      <w14:ligatures w14:val="none"/>
    </w:rPr>
  </w:style>
  <w:style w:type="paragraph" w:styleId="Quote">
    <w:name w:val="Quote"/>
    <w:aliases w:val="Table"/>
    <w:basedOn w:val="Normal"/>
    <w:next w:val="Normal"/>
    <w:link w:val="QuoteChar"/>
    <w:autoRedefine/>
    <w:uiPriority w:val="29"/>
    <w:qFormat/>
    <w:rsid w:val="00F84A94"/>
    <w:pPr>
      <w:spacing w:before="200"/>
      <w:ind w:left="864" w:right="864"/>
    </w:pPr>
    <w:rPr>
      <w:b/>
      <w:i/>
      <w:iCs/>
      <w:color w:val="0D0D0D" w:themeColor="text1" w:themeTint="F2"/>
      <w:sz w:val="22"/>
    </w:rPr>
  </w:style>
  <w:style w:type="character" w:customStyle="1" w:styleId="QuoteChar">
    <w:name w:val="Quote Char"/>
    <w:aliases w:val="Table Char"/>
    <w:basedOn w:val="DefaultParagraphFont"/>
    <w:link w:val="Quote"/>
    <w:uiPriority w:val="29"/>
    <w:rsid w:val="00F84A94"/>
    <w:rPr>
      <w:b/>
      <w:i/>
      <w:iCs/>
      <w:color w:val="0D0D0D" w:themeColor="text1" w:themeTint="F2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E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E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E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E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E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7E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157E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7E75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itor@globaltalent.acad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1651</Words>
  <Characters>9416</Characters>
  <Application>Microsoft Office Word</Application>
  <DocSecurity>0</DocSecurity>
  <Lines>78</Lines>
  <Paragraphs>22</Paragraphs>
  <ScaleCrop>false</ScaleCrop>
  <Company/>
  <LinksUpToDate>false</LinksUpToDate>
  <CharactersWithSpaces>11045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Sahadah binti Haji Abdullah</dc:creator>
  <cp:keywords/>
  <dc:description/>
  <cp:lastModifiedBy>Dr. Sahadah binti Haji Abdullah</cp:lastModifiedBy>
  <cp:revision>2</cp:revision>
  <dcterms:created xsi:type="dcterms:W3CDTF">2026-10-06T21:03:00Z</dcterms:created>
  <dcterms:modified xsi:type="dcterms:W3CDTF">2026-10-06T21:22:00Z</dcterms:modified>
</cp:coreProperties>
</file>